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3D979"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left="720" w:right="312"/>
        <w:jc w:val="center"/>
        <w:rPr>
          <w:b/>
          <w:sz w:val="32"/>
          <w:szCs w:val="32"/>
        </w:rPr>
      </w:pPr>
      <w:r>
        <w:rPr>
          <w:b/>
          <w:color w:val="000000"/>
          <w:sz w:val="32"/>
          <w:szCs w:val="32"/>
        </w:rPr>
        <w:t>MESA ANÁLISIS DE DAT</w:t>
      </w:r>
      <w:r>
        <w:rPr>
          <w:b/>
          <w:sz w:val="32"/>
          <w:szCs w:val="32"/>
        </w:rPr>
        <w:t>OS</w:t>
      </w:r>
    </w:p>
    <w:p w14:paraId="183AF2BE" w14:textId="77777777" w:rsidR="001068BA" w:rsidRPr="001446DB" w:rsidRDefault="00DF1D4A">
      <w:pPr>
        <w:widowControl w:val="0"/>
        <w:pBdr>
          <w:top w:val="nil"/>
          <w:left w:val="nil"/>
          <w:bottom w:val="nil"/>
          <w:right w:val="nil"/>
          <w:between w:val="nil"/>
        </w:pBdr>
        <w:tabs>
          <w:tab w:val="left" w:pos="610"/>
          <w:tab w:val="left" w:pos="612"/>
        </w:tabs>
        <w:spacing w:before="251" w:after="0" w:line="276" w:lineRule="auto"/>
        <w:ind w:left="720" w:right="312"/>
        <w:jc w:val="center"/>
        <w:rPr>
          <w:b/>
          <w:sz w:val="28"/>
          <w:szCs w:val="28"/>
        </w:rPr>
      </w:pPr>
      <w:r w:rsidRPr="001446DB">
        <w:rPr>
          <w:b/>
          <w:sz w:val="28"/>
          <w:szCs w:val="28"/>
        </w:rPr>
        <w:t>Sobrepeso, obesidad y factores asociados en la comunidad estudiantil de la Facultad de Medicina, Universidad Nacional del Nordeste</w:t>
      </w:r>
    </w:p>
    <w:p w14:paraId="287F1933"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right="312"/>
        <w:rPr>
          <w:b/>
          <w:sz w:val="32"/>
          <w:szCs w:val="32"/>
        </w:rPr>
      </w:pPr>
      <w:r>
        <w:rPr>
          <w:b/>
          <w:sz w:val="32"/>
          <w:szCs w:val="32"/>
        </w:rPr>
        <w:t>-Planteamiento del Problema</w:t>
      </w:r>
    </w:p>
    <w:p w14:paraId="2EF67984"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right="312"/>
        <w:jc w:val="both"/>
      </w:pPr>
      <w:r>
        <w:t>En la actualidad, las enfermedades no transmisibles (ENT) representan una de las principales causas de morbilidad y mortalidad a nivel mundial. Entre los principales factores de riesgo para su desarrollo se encuentran el sobrepeso y la obesidad, comúnmente</w:t>
      </w:r>
      <w:r>
        <w:t xml:space="preserve"> evaluados mediante el Índice de Masa Corporal (IMC), cuya prevalencia muestra un incremento sostenido en la población joven. En particular los estudiantes universitarios atraviesan cambios importantes en sus hábitos de alimentación, niveles de actividad f</w:t>
      </w:r>
      <w:r>
        <w:t>ísica y rutinas de autocuidado, lo que puede impactar directamente en su estado nutricional y en su salud a largo plazo. En este estudio es de interés identificar las prácticas y factores asociados al sobrepeso y la obesidad en estudiantes de la Facultad d</w:t>
      </w:r>
      <w:r>
        <w:t>e Medicina de la Universidad Nacional del Nordeste (UNNE), con el fin de diseñar estrategias de prevención y promoción de la salud adaptadas a este grupo poblacional.</w:t>
      </w:r>
    </w:p>
    <w:p w14:paraId="40A09B70"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right="312"/>
        <w:rPr>
          <w:sz w:val="24"/>
          <w:szCs w:val="24"/>
        </w:rPr>
      </w:pPr>
      <w:r>
        <w:rPr>
          <w:b/>
          <w:sz w:val="32"/>
          <w:szCs w:val="32"/>
        </w:rPr>
        <w:t>- Objetivo general</w:t>
      </w:r>
      <w:r>
        <w:rPr>
          <w:b/>
          <w:sz w:val="24"/>
          <w:szCs w:val="24"/>
        </w:rPr>
        <w:br/>
      </w:r>
      <w:r>
        <w:rPr>
          <w:sz w:val="24"/>
          <w:szCs w:val="24"/>
        </w:rPr>
        <w:t>Identificar perfiles de riesgo y explorar las asociaciones entre el IM</w:t>
      </w:r>
      <w:r>
        <w:rPr>
          <w:sz w:val="24"/>
          <w:szCs w:val="24"/>
        </w:rPr>
        <w:t>C y diversas prácticas o condiciones relacionadas con la salud, con el fin de orientar intervenciones de promoción de la salud en el ámbito universitario.</w:t>
      </w:r>
    </w:p>
    <w:p w14:paraId="6C77F366"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right="312"/>
        <w:rPr>
          <w:sz w:val="26"/>
          <w:szCs w:val="26"/>
        </w:rPr>
      </w:pPr>
      <w:r>
        <w:rPr>
          <w:b/>
          <w:sz w:val="32"/>
          <w:szCs w:val="32"/>
        </w:rPr>
        <w:t>- Preguntas de investigación</w:t>
      </w:r>
    </w:p>
    <w:p w14:paraId="50C1767B" w14:textId="77777777" w:rsidR="001068BA" w:rsidRDefault="00DF1D4A" w:rsidP="001446DB">
      <w:pPr>
        <w:widowControl w:val="0"/>
        <w:numPr>
          <w:ilvl w:val="0"/>
          <w:numId w:val="1"/>
        </w:numPr>
        <w:tabs>
          <w:tab w:val="left" w:pos="709"/>
        </w:tabs>
        <w:spacing w:before="240" w:after="0" w:line="276" w:lineRule="auto"/>
      </w:pPr>
      <w:r>
        <w:t>¿Existen diferencias en el IMC de los estudiantes según carrera, año académico o género?</w:t>
      </w:r>
    </w:p>
    <w:p w14:paraId="28EB3237" w14:textId="77777777" w:rsidR="001068BA" w:rsidRDefault="00DF1D4A" w:rsidP="001446DB">
      <w:pPr>
        <w:widowControl w:val="0"/>
        <w:numPr>
          <w:ilvl w:val="0"/>
          <w:numId w:val="1"/>
        </w:numPr>
        <w:tabs>
          <w:tab w:val="left" w:pos="709"/>
        </w:tabs>
        <w:spacing w:after="0" w:line="276" w:lineRule="auto"/>
      </w:pPr>
      <w:r>
        <w:t>¿Qué perfiles pueden identificarse en el consumo alimentario y las prácticas de actividad física entre los estudiantes?</w:t>
      </w:r>
    </w:p>
    <w:p w14:paraId="61F2202D" w14:textId="77777777" w:rsidR="001068BA" w:rsidRDefault="00DF1D4A" w:rsidP="001446DB">
      <w:pPr>
        <w:widowControl w:val="0"/>
        <w:numPr>
          <w:ilvl w:val="0"/>
          <w:numId w:val="1"/>
        </w:numPr>
        <w:tabs>
          <w:tab w:val="left" w:pos="709"/>
        </w:tabs>
        <w:spacing w:after="0" w:line="276" w:lineRule="auto"/>
      </w:pPr>
      <w:r>
        <w:t>¿Qué relación existe entre el tiempo dedicado a</w:t>
      </w:r>
      <w:r>
        <w:t xml:space="preserve"> actividades sedentarias y el IMC, y cómo varía según el nivel de actividad física?</w:t>
      </w:r>
    </w:p>
    <w:p w14:paraId="20C94108" w14:textId="77777777" w:rsidR="001068BA" w:rsidRDefault="00DF1D4A" w:rsidP="001446DB">
      <w:pPr>
        <w:widowControl w:val="0"/>
        <w:numPr>
          <w:ilvl w:val="0"/>
          <w:numId w:val="1"/>
        </w:numPr>
        <w:tabs>
          <w:tab w:val="left" w:pos="709"/>
        </w:tabs>
        <w:spacing w:after="240" w:line="276" w:lineRule="auto"/>
      </w:pPr>
      <w:r>
        <w:t>¿Qué variables permiten predecir mejor el IMC de los estudiantes?</w:t>
      </w:r>
    </w:p>
    <w:p w14:paraId="63D08BD9"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right="312"/>
        <w:rPr>
          <w:b/>
          <w:sz w:val="32"/>
          <w:szCs w:val="32"/>
        </w:rPr>
      </w:pPr>
      <w:r>
        <w:rPr>
          <w:b/>
          <w:sz w:val="32"/>
          <w:szCs w:val="32"/>
        </w:rPr>
        <w:t>- Datos</w:t>
      </w:r>
    </w:p>
    <w:p w14:paraId="5291E9A9" w14:textId="77777777" w:rsidR="001068BA" w:rsidRDefault="00DF1D4A">
      <w:pPr>
        <w:spacing w:after="0" w:line="240" w:lineRule="auto"/>
        <w:jc w:val="both"/>
      </w:pPr>
      <w:r>
        <w:t>Se aplicó un cuestionario electrónico, autoadministrado y anónimo, a estudiantes de distintas carr</w:t>
      </w:r>
      <w:r>
        <w:t xml:space="preserve">eras de la Facultad de Medicina de la UNNE. El cuestionario fue </w:t>
      </w:r>
      <w:proofErr w:type="spellStart"/>
      <w:r>
        <w:t>distribuído</w:t>
      </w:r>
      <w:proofErr w:type="spellEnd"/>
      <w:r>
        <w:t xml:space="preserve"> por redes sociales a través de los centros de estudiantes, publicaciones de códigos QR ubicados en el comedor universitario y mediante la Secretaría de Asuntos Estudiantiles.</w:t>
      </w:r>
    </w:p>
    <w:p w14:paraId="42BDCC77" w14:textId="77777777" w:rsidR="001068BA" w:rsidRDefault="00DF1D4A">
      <w:pPr>
        <w:spacing w:after="0" w:line="240" w:lineRule="auto"/>
        <w:jc w:val="both"/>
      </w:pPr>
      <w:r>
        <w:lastRenderedPageBreak/>
        <w:t>La en</w:t>
      </w:r>
      <w:r>
        <w:t>cuesta abordó aspectos vinculados a los hábitos alimentarios, el nivel de actividad física, el consumo y exposición a sustancias, la realización de controles de salud y la percepción de problemas de salud. La base de datos resultante incluye variables soci</w:t>
      </w:r>
      <w:r>
        <w:t xml:space="preserve">odemográficas, antropométricas, conductuales y contextuales. </w:t>
      </w:r>
    </w:p>
    <w:p w14:paraId="0659C36E" w14:textId="77777777" w:rsidR="001068BA" w:rsidRDefault="00DF1D4A">
      <w:pPr>
        <w:spacing w:after="0" w:line="240" w:lineRule="auto"/>
        <w:jc w:val="both"/>
      </w:pPr>
      <w:r>
        <w:t xml:space="preserve">El IMC se utilizó como indicador del estado nutricional. Se calculó a partir del peso y la talla con la fórmula: </w:t>
      </w:r>
    </w:p>
    <w:p w14:paraId="3CAB1067" w14:textId="77777777" w:rsidR="001068BA" w:rsidRDefault="00DF1D4A">
      <w:pPr>
        <w:spacing w:after="0" w:line="240" w:lineRule="auto"/>
        <w:jc w:val="both"/>
        <w:rPr>
          <w:sz w:val="28"/>
          <w:szCs w:val="28"/>
        </w:rPr>
      </w:pPr>
      <m:oMathPara>
        <m:oMath>
          <m:r>
            <w:rPr>
              <w:rFonts w:ascii="Cambria Math" w:hAnsi="Cambria Math"/>
              <w:sz w:val="28"/>
              <w:szCs w:val="28"/>
            </w:rPr>
            <m:t>IMC</m:t>
          </m:r>
          <m:r>
            <w:rPr>
              <w:rFonts w:ascii="Cambria Math" w:hAnsi="Cambria Math"/>
              <w:sz w:val="28"/>
              <w:szCs w:val="28"/>
            </w:rPr>
            <m:t xml:space="preserve"> = </m:t>
          </m:r>
          <m:f>
            <m:fPr>
              <m:ctrlPr>
                <w:rPr>
                  <w:rFonts w:ascii="Cambria Math" w:hAnsi="Cambria Math"/>
                  <w:sz w:val="28"/>
                  <w:szCs w:val="28"/>
                </w:rPr>
              </m:ctrlPr>
            </m:fPr>
            <m:num>
              <m:r>
                <w:rPr>
                  <w:rFonts w:ascii="Cambria Math" w:hAnsi="Cambria Math"/>
                  <w:sz w:val="28"/>
                  <w:szCs w:val="28"/>
                </w:rPr>
                <m:t>peso</m:t>
              </m:r>
              <m:r>
                <w:rPr>
                  <w:rFonts w:ascii="Cambria Math" w:hAnsi="Cambria Math"/>
                  <w:sz w:val="28"/>
                  <w:szCs w:val="28"/>
                </w:rPr>
                <m:t xml:space="preserve"> (</m:t>
              </m:r>
              <m:r>
                <w:rPr>
                  <w:rFonts w:ascii="Cambria Math" w:hAnsi="Cambria Math"/>
                  <w:sz w:val="28"/>
                  <w:szCs w:val="28"/>
                </w:rPr>
                <m:t>kg</m:t>
              </m:r>
              <m:r>
                <w:rPr>
                  <w:rFonts w:ascii="Cambria Math" w:hAnsi="Cambria Math"/>
                  <w:sz w:val="28"/>
                  <w:szCs w:val="28"/>
                </w:rPr>
                <m:t>)</m:t>
              </m:r>
            </m:num>
            <m:den>
              <m:r>
                <w:rPr>
                  <w:rFonts w:ascii="Cambria Math" w:hAnsi="Cambria Math"/>
                  <w:sz w:val="28"/>
                  <w:szCs w:val="28"/>
                </w:rPr>
                <m:t>tall</m:t>
              </m:r>
              <m:sSup>
                <m:sSupPr>
                  <m:ctrlPr>
                    <w:rPr>
                      <w:rFonts w:ascii="Cambria Math" w:hAnsi="Cambria Math"/>
                      <w:sz w:val="28"/>
                      <w:szCs w:val="28"/>
                    </w:rPr>
                  </m:ctrlPr>
                </m:sSupPr>
                <m:e>
                  <m:r>
                    <w:rPr>
                      <w:rFonts w:ascii="Cambria Math" w:hAnsi="Cambria Math"/>
                      <w:sz w:val="28"/>
                      <w:szCs w:val="28"/>
                    </w:rPr>
                    <m:t>a</m:t>
                  </m:r>
                </m:e>
                <m:sup>
                  <m:r>
                    <w:rPr>
                      <w:rFonts w:ascii="Cambria Math" w:hAnsi="Cambria Math"/>
                      <w:sz w:val="28"/>
                      <w:szCs w:val="28"/>
                    </w:rPr>
                    <m:t>2</m:t>
                  </m:r>
                </m:sup>
              </m:sSup>
              <m:r>
                <w:rPr>
                  <w:rFonts w:ascii="Cambria Math" w:hAnsi="Cambria Math"/>
                  <w:sz w:val="28"/>
                  <w:szCs w:val="28"/>
                </w:rPr>
                <m:t xml:space="preserve"> (</m:t>
              </m:r>
              <m:sSup>
                <m:sSupPr>
                  <m:ctrlPr>
                    <w:rPr>
                      <w:rFonts w:ascii="Cambria Math" w:hAnsi="Cambria Math"/>
                      <w:sz w:val="28"/>
                      <w:szCs w:val="28"/>
                    </w:rPr>
                  </m:ctrlPr>
                </m:sSupPr>
                <m:e>
                  <m:r>
                    <w:rPr>
                      <w:rFonts w:ascii="Cambria Math" w:hAnsi="Cambria Math"/>
                      <w:sz w:val="28"/>
                      <w:szCs w:val="28"/>
                    </w:rPr>
                    <m:t>m</m:t>
                  </m:r>
                </m:e>
                <m:sup>
                  <m:r>
                    <w:rPr>
                      <w:rFonts w:ascii="Cambria Math" w:hAnsi="Cambria Math"/>
                      <w:sz w:val="28"/>
                      <w:szCs w:val="28"/>
                    </w:rPr>
                    <m:t>2</m:t>
                  </m:r>
                </m:sup>
              </m:sSup>
              <m:r>
                <w:rPr>
                  <w:rFonts w:ascii="Cambria Math" w:hAnsi="Cambria Math"/>
                  <w:sz w:val="28"/>
                  <w:szCs w:val="28"/>
                </w:rPr>
                <m:t>)</m:t>
              </m:r>
            </m:den>
          </m:f>
          <m:r>
            <w:rPr>
              <w:rFonts w:ascii="Cambria Math" w:hAnsi="Cambria Math"/>
              <w:sz w:val="28"/>
              <w:szCs w:val="28"/>
            </w:rPr>
            <m:t xml:space="preserve"> </m:t>
          </m:r>
        </m:oMath>
      </m:oMathPara>
    </w:p>
    <w:p w14:paraId="09A1172A" w14:textId="77777777" w:rsidR="001068BA" w:rsidRDefault="00DF1D4A">
      <w:pPr>
        <w:spacing w:after="0" w:line="240" w:lineRule="auto"/>
        <w:jc w:val="both"/>
      </w:pPr>
      <w:r>
        <w:t>Se interpretó según los rangos establ</w:t>
      </w:r>
      <w:r>
        <w:t>ecidos por la Organización Mundial de la Salud (OMS):</w:t>
      </w:r>
    </w:p>
    <w:p w14:paraId="04024E46" w14:textId="77777777" w:rsidR="001068BA" w:rsidRDefault="001068BA">
      <w:pPr>
        <w:spacing w:after="0" w:line="240" w:lineRule="auto"/>
        <w:jc w:val="both"/>
      </w:pPr>
    </w:p>
    <w:p w14:paraId="678186C1" w14:textId="77777777" w:rsidR="001068BA" w:rsidRDefault="00DF1D4A">
      <w:pPr>
        <w:numPr>
          <w:ilvl w:val="0"/>
          <w:numId w:val="2"/>
        </w:numPr>
        <w:spacing w:after="0" w:line="240" w:lineRule="auto"/>
        <w:jc w:val="both"/>
      </w:pPr>
      <w:r>
        <w:t>IMC &lt; 18,5: bajo peso</w:t>
      </w:r>
    </w:p>
    <w:p w14:paraId="6F1B8436" w14:textId="77777777" w:rsidR="001068BA" w:rsidRDefault="00DF1D4A">
      <w:pPr>
        <w:numPr>
          <w:ilvl w:val="0"/>
          <w:numId w:val="2"/>
        </w:numPr>
        <w:spacing w:after="0" w:line="240" w:lineRule="auto"/>
        <w:jc w:val="both"/>
      </w:pPr>
      <w:r>
        <w:t>IMC 18,5 – 24,9: peso adecuado</w:t>
      </w:r>
    </w:p>
    <w:p w14:paraId="0DABED41" w14:textId="77777777" w:rsidR="001068BA" w:rsidRDefault="00DF1D4A">
      <w:pPr>
        <w:numPr>
          <w:ilvl w:val="0"/>
          <w:numId w:val="2"/>
        </w:numPr>
        <w:spacing w:after="0" w:line="240" w:lineRule="auto"/>
        <w:jc w:val="both"/>
      </w:pPr>
      <w:r>
        <w:t>IMC 25 – 29,9: sobrepeso</w:t>
      </w:r>
    </w:p>
    <w:p w14:paraId="17B97DCE" w14:textId="77777777" w:rsidR="001068BA" w:rsidRDefault="00DF1D4A">
      <w:pPr>
        <w:numPr>
          <w:ilvl w:val="0"/>
          <w:numId w:val="2"/>
        </w:numPr>
        <w:spacing w:after="0" w:line="240" w:lineRule="auto"/>
        <w:jc w:val="both"/>
      </w:pPr>
      <w:r>
        <w:t>IMC ≥ 30: obesidad</w:t>
      </w:r>
    </w:p>
    <w:p w14:paraId="421BFB3D" w14:textId="77777777" w:rsidR="001068BA" w:rsidRDefault="00DF1D4A">
      <w:pPr>
        <w:widowControl w:val="0"/>
        <w:pBdr>
          <w:top w:val="nil"/>
          <w:left w:val="nil"/>
          <w:bottom w:val="nil"/>
          <w:right w:val="nil"/>
          <w:between w:val="nil"/>
        </w:pBdr>
        <w:tabs>
          <w:tab w:val="left" w:pos="610"/>
          <w:tab w:val="left" w:pos="612"/>
        </w:tabs>
        <w:spacing w:before="251" w:after="0" w:line="276" w:lineRule="auto"/>
        <w:ind w:right="312"/>
        <w:rPr>
          <w:b/>
          <w:sz w:val="32"/>
          <w:szCs w:val="32"/>
        </w:rPr>
      </w:pPr>
      <w:r>
        <w:rPr>
          <w:b/>
          <w:sz w:val="32"/>
          <w:szCs w:val="32"/>
        </w:rPr>
        <w:t>- Base de datos</w:t>
      </w:r>
    </w:p>
    <w:p w14:paraId="46821DDD" w14:textId="71111C52" w:rsidR="001068BA" w:rsidRDefault="00DF1D4A">
      <w:pPr>
        <w:widowControl w:val="0"/>
        <w:pBdr>
          <w:top w:val="nil"/>
          <w:left w:val="nil"/>
          <w:bottom w:val="nil"/>
          <w:right w:val="nil"/>
          <w:between w:val="nil"/>
        </w:pBdr>
        <w:tabs>
          <w:tab w:val="left" w:pos="610"/>
          <w:tab w:val="left" w:pos="612"/>
        </w:tabs>
        <w:spacing w:before="251" w:after="0" w:line="276" w:lineRule="auto"/>
        <w:ind w:right="312"/>
        <w:rPr>
          <w:b/>
          <w:sz w:val="32"/>
          <w:szCs w:val="32"/>
        </w:rPr>
      </w:pPr>
      <w:hyperlink r:id="rId8">
        <w:r>
          <w:rPr>
            <w:b/>
            <w:color w:val="0000EE"/>
            <w:sz w:val="32"/>
            <w:szCs w:val="32"/>
            <w:u w:val="single"/>
          </w:rPr>
          <w:t>Encuesta Universidades y Facultades Saludables (respues</w:t>
        </w:r>
        <w:r>
          <w:rPr>
            <w:b/>
            <w:color w:val="0000EE"/>
            <w:sz w:val="32"/>
            <w:szCs w:val="32"/>
            <w:u w:val="single"/>
          </w:rPr>
          <w:t xml:space="preserve">tas) </w:t>
        </w:r>
      </w:hyperlink>
    </w:p>
    <w:p w14:paraId="08C084CD" w14:textId="77777777" w:rsidR="001068BA" w:rsidRDefault="00DF1D4A">
      <w:pPr>
        <w:widowControl w:val="0"/>
        <w:numPr>
          <w:ilvl w:val="0"/>
          <w:numId w:val="3"/>
        </w:numPr>
        <w:pBdr>
          <w:top w:val="nil"/>
          <w:left w:val="nil"/>
          <w:bottom w:val="nil"/>
          <w:right w:val="nil"/>
          <w:between w:val="nil"/>
        </w:pBdr>
        <w:tabs>
          <w:tab w:val="left" w:pos="610"/>
          <w:tab w:val="left" w:pos="612"/>
        </w:tabs>
        <w:spacing w:before="251" w:after="0" w:line="276" w:lineRule="auto"/>
        <w:ind w:right="312"/>
        <w:rPr>
          <w:b/>
          <w:sz w:val="32"/>
          <w:szCs w:val="32"/>
        </w:rPr>
      </w:pPr>
      <w:r>
        <w:rPr>
          <w:b/>
          <w:sz w:val="32"/>
          <w:szCs w:val="32"/>
        </w:rPr>
        <w:t>Consultas: pablopaccioretti@agro.unc.edu.ar</w:t>
      </w:r>
    </w:p>
    <w:sectPr w:rsidR="001068BA">
      <w:headerReference w:type="default" r:id="rId9"/>
      <w:footerReference w:type="default" r:id="rId10"/>
      <w:pgSz w:w="11906" w:h="16838"/>
      <w:pgMar w:top="2537" w:right="1133"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1176B" w14:textId="77777777" w:rsidR="00DF1D4A" w:rsidRDefault="00DF1D4A">
      <w:pPr>
        <w:spacing w:after="0" w:line="240" w:lineRule="auto"/>
      </w:pPr>
      <w:r>
        <w:separator/>
      </w:r>
    </w:p>
  </w:endnote>
  <w:endnote w:type="continuationSeparator" w:id="0">
    <w:p w14:paraId="15B5EC07" w14:textId="77777777" w:rsidR="00DF1D4A" w:rsidRDefault="00DF1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AD85" w14:textId="53122C90" w:rsidR="001068BA" w:rsidRDefault="001446DB">
    <w:pPr>
      <w:pBdr>
        <w:top w:val="nil"/>
        <w:left w:val="nil"/>
        <w:bottom w:val="nil"/>
        <w:right w:val="nil"/>
        <w:between w:val="nil"/>
      </w:pBdr>
      <w:tabs>
        <w:tab w:val="center" w:pos="4419"/>
        <w:tab w:val="right" w:pos="8838"/>
      </w:tabs>
      <w:spacing w:after="0" w:line="240" w:lineRule="auto"/>
      <w:rPr>
        <w:color w:val="000000"/>
      </w:rPr>
    </w:pPr>
    <w:r>
      <w:rPr>
        <w:noProof/>
        <w:color w:val="000000"/>
        <w:lang w:val="en-US" w:eastAsia="en-US"/>
      </w:rPr>
      <w:drawing>
        <wp:anchor distT="0" distB="0" distL="114300" distR="114300" simplePos="0" relativeHeight="251660288" behindDoc="1" locked="0" layoutInCell="1" allowOverlap="1" wp14:anchorId="7B447B88" wp14:editId="4E6A32F2">
          <wp:simplePos x="0" y="0"/>
          <wp:positionH relativeFrom="column">
            <wp:posOffset>-1066800</wp:posOffset>
          </wp:positionH>
          <wp:positionV relativeFrom="paragraph">
            <wp:posOffset>0</wp:posOffset>
          </wp:positionV>
          <wp:extent cx="7562850" cy="606895"/>
          <wp:effectExtent l="0" t="0" r="0"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6068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69614" w14:textId="77777777" w:rsidR="00DF1D4A" w:rsidRDefault="00DF1D4A">
      <w:pPr>
        <w:spacing w:after="0" w:line="240" w:lineRule="auto"/>
      </w:pPr>
      <w:r>
        <w:separator/>
      </w:r>
    </w:p>
  </w:footnote>
  <w:footnote w:type="continuationSeparator" w:id="0">
    <w:p w14:paraId="1894C545" w14:textId="77777777" w:rsidR="00DF1D4A" w:rsidRDefault="00DF1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8499" w14:textId="77777777" w:rsidR="001068BA" w:rsidRDefault="00DF1D4A">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0" distR="0" simplePos="0" relativeHeight="251658240" behindDoc="1" locked="0" layoutInCell="1" hidden="0" allowOverlap="1" wp14:anchorId="64821E71" wp14:editId="6ED6CE48">
          <wp:simplePos x="0" y="0"/>
          <wp:positionH relativeFrom="column">
            <wp:posOffset>-1070609</wp:posOffset>
          </wp:positionH>
          <wp:positionV relativeFrom="paragraph">
            <wp:posOffset>-506729</wp:posOffset>
          </wp:positionV>
          <wp:extent cx="7524225" cy="1606528"/>
          <wp:effectExtent l="0" t="0" r="0" b="0"/>
          <wp:wrapNone/>
          <wp:docPr id="1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24225" cy="160652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EB6"/>
    <w:multiLevelType w:val="multilevel"/>
    <w:tmpl w:val="38F44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54236D"/>
    <w:multiLevelType w:val="multilevel"/>
    <w:tmpl w:val="853267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3D5E0443"/>
    <w:multiLevelType w:val="multilevel"/>
    <w:tmpl w:val="3A2AE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BA"/>
    <w:rsid w:val="001068BA"/>
    <w:rsid w:val="001446DB"/>
    <w:rsid w:val="00DF1D4A"/>
    <w:rsid w:val="00E232B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BC56"/>
  <w15:docId w15:val="{58D787B9-A5D2-46C6-93FE-51BC13BC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0" w:line="276" w:lineRule="auto"/>
      <w:outlineLvl w:val="0"/>
    </w:pPr>
    <w:rPr>
      <w:b/>
      <w:color w:val="2F5496"/>
      <w:sz w:val="28"/>
      <w:szCs w:val="28"/>
    </w:rPr>
  </w:style>
  <w:style w:type="paragraph" w:styleId="Ttulo2">
    <w:name w:val="heading 2"/>
    <w:basedOn w:val="Normal"/>
    <w:next w:val="Normal"/>
    <w:uiPriority w:val="9"/>
    <w:semiHidden/>
    <w:unhideWhenUsed/>
    <w:qFormat/>
    <w:pPr>
      <w:keepNext/>
      <w:keepLines/>
      <w:spacing w:before="200" w:after="0" w:line="276" w:lineRule="auto"/>
      <w:outlineLvl w:val="1"/>
    </w:pPr>
    <w:rPr>
      <w:b/>
      <w:color w:val="4472C4"/>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1"/>
    <w:qFormat/>
    <w:rsid w:val="00B416FF"/>
    <w:pPr>
      <w:ind w:left="720"/>
      <w:contextualSpacing/>
    </w:pPr>
  </w:style>
  <w:style w:type="character" w:customStyle="1" w:styleId="Ttulo1Car">
    <w:name w:val="Título 1 Car"/>
    <w:basedOn w:val="Fuentedeprrafopredeter"/>
    <w:uiPriority w:val="9"/>
    <w:rsid w:val="00027B18"/>
    <w:rPr>
      <w:rFonts w:asciiTheme="majorHAnsi" w:eastAsiaTheme="majorEastAsia" w:hAnsiTheme="majorHAnsi" w:cstheme="majorBidi"/>
      <w:b/>
      <w:bCs/>
      <w:color w:val="2F5496" w:themeColor="accent1" w:themeShade="BF"/>
      <w:sz w:val="28"/>
      <w:szCs w:val="28"/>
      <w:lang w:val="en-US"/>
    </w:rPr>
  </w:style>
  <w:style w:type="character" w:customStyle="1" w:styleId="Ttulo2Car">
    <w:name w:val="Título 2 Car"/>
    <w:basedOn w:val="Fuentedeprrafopredeter"/>
    <w:uiPriority w:val="9"/>
    <w:rsid w:val="00027B18"/>
    <w:rPr>
      <w:rFonts w:asciiTheme="majorHAnsi" w:eastAsiaTheme="majorEastAsia" w:hAnsiTheme="majorHAnsi" w:cstheme="majorBidi"/>
      <w:b/>
      <w:bCs/>
      <w:color w:val="4472C4" w:themeColor="accent1"/>
      <w:sz w:val="26"/>
      <w:szCs w:val="26"/>
      <w:lang w:val="en-US"/>
    </w:rPr>
  </w:style>
  <w:style w:type="paragraph" w:styleId="Textoindependiente">
    <w:name w:val="Body Text"/>
    <w:basedOn w:val="Normal"/>
    <w:link w:val="TextoindependienteCar"/>
    <w:uiPriority w:val="1"/>
    <w:qFormat/>
    <w:rsid w:val="00404AD4"/>
    <w:pPr>
      <w:widowControl w:val="0"/>
      <w:autoSpaceDE w:val="0"/>
      <w:autoSpaceDN w:val="0"/>
      <w:spacing w:after="0" w:line="240" w:lineRule="auto"/>
    </w:pPr>
    <w:rPr>
      <w:lang w:val="es-ES" w:eastAsia="en-US"/>
    </w:rPr>
  </w:style>
  <w:style w:type="character" w:customStyle="1" w:styleId="TextoindependienteCar">
    <w:name w:val="Texto independiente Car"/>
    <w:basedOn w:val="Fuentedeprrafopredeter"/>
    <w:link w:val="Textoindependiente"/>
    <w:uiPriority w:val="1"/>
    <w:rsid w:val="00404AD4"/>
    <w:rPr>
      <w:rFonts w:ascii="Calibri" w:eastAsia="Calibri" w:hAnsi="Calibri" w:cs="Calibri"/>
      <w:lang w:val="es-ES"/>
    </w:rPr>
  </w:style>
  <w:style w:type="table" w:styleId="Tablaconcuadrcula">
    <w:name w:val="Table Grid"/>
    <w:basedOn w:val="Tablanormal"/>
    <w:uiPriority w:val="39"/>
    <w:rsid w:val="00B27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291121"/>
    <w:rPr>
      <w:color w:val="0563C1" w:themeColor="hyperlink"/>
      <w:u w:val="single"/>
    </w:rPr>
  </w:style>
  <w:style w:type="character" w:customStyle="1" w:styleId="Mencinsinresolver1">
    <w:name w:val="Mención sin resolver1"/>
    <w:basedOn w:val="Fuentedeprrafopredeter"/>
    <w:uiPriority w:val="99"/>
    <w:semiHidden/>
    <w:unhideWhenUsed/>
    <w:rsid w:val="00291121"/>
    <w:rPr>
      <w:color w:val="605E5C"/>
      <w:shd w:val="clear" w:color="auto" w:fill="E1DFDD"/>
    </w:rPr>
  </w:style>
  <w:style w:type="paragraph" w:styleId="Encabezado">
    <w:name w:val="header"/>
    <w:basedOn w:val="Normal"/>
    <w:link w:val="EncabezadoCar"/>
    <w:uiPriority w:val="99"/>
    <w:unhideWhenUsed/>
    <w:rsid w:val="003F30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063"/>
    <w:rPr>
      <w:rFonts w:ascii="Calibri" w:eastAsia="Calibri" w:hAnsi="Calibri" w:cs="Calibri"/>
      <w:lang w:eastAsia="es-AR"/>
    </w:rPr>
  </w:style>
  <w:style w:type="paragraph" w:styleId="Piedepgina">
    <w:name w:val="footer"/>
    <w:basedOn w:val="Normal"/>
    <w:link w:val="PiedepginaCar"/>
    <w:uiPriority w:val="99"/>
    <w:unhideWhenUsed/>
    <w:rsid w:val="003F30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063"/>
    <w:rPr>
      <w:rFonts w:ascii="Calibri" w:eastAsia="Calibri" w:hAnsi="Calibri" w:cs="Calibri"/>
      <w:lang w:eastAsia="es-AR"/>
    </w:rPr>
  </w:style>
  <w:style w:type="character" w:styleId="Mencinsinresolver">
    <w:name w:val="Unresolved Mention"/>
    <w:basedOn w:val="Fuentedeprrafopredeter"/>
    <w:uiPriority w:val="99"/>
    <w:semiHidden/>
    <w:unhideWhenUsed/>
    <w:rsid w:val="00245944"/>
    <w:rPr>
      <w:color w:val="605E5C"/>
      <w:shd w:val="clear" w:color="auto" w:fill="E1DFDD"/>
    </w:rPr>
  </w:style>
  <w:style w:type="character" w:styleId="Hipervnculovisitado">
    <w:name w:val="FollowedHyperlink"/>
    <w:basedOn w:val="Fuentedeprrafopredeter"/>
    <w:uiPriority w:val="99"/>
    <w:semiHidden/>
    <w:unhideWhenUsed/>
    <w:rsid w:val="009622B9"/>
    <w:rPr>
      <w:color w:val="954F72" w:themeColor="followedHyperlink"/>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Downloads/Encuesta%20Universidades%20y%20Facultades%20Saludables%20(respuestas)%20.xls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g1DKchuy3BUAos27h9E3NIAgkw==">CgMxLjA4AHIhMTNhM3N4Y1FzMkNQMTJYVVoxYWw2RXduVlZiZnpGNnF1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471</Words>
  <Characters>2591</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Griselda Bóbeda</dc:creator>
  <cp:lastModifiedBy>Griselda Bóbeda</cp:lastModifiedBy>
  <cp:revision>3</cp:revision>
  <dcterms:created xsi:type="dcterms:W3CDTF">2025-09-14T17:22:00Z</dcterms:created>
  <dcterms:modified xsi:type="dcterms:W3CDTF">2025-09-14T17:27:00Z</dcterms:modified>
</cp:coreProperties>
</file>